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8E4670" w:rsidRDefault="002D3280" w:rsidP="008E4670">
      <w:pPr>
        <w:pStyle w:val="BodyTextIndent2"/>
        <w:ind w:left="990" w:right="590"/>
        <w:rPr>
          <w:rFonts w:ascii="Sylfaen" w:hAnsi="Sylfaen"/>
          <w:i w:val="0"/>
          <w:color w:val="003399"/>
          <w:sz w:val="20"/>
          <w:szCs w:val="20"/>
        </w:rPr>
      </w:pP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E4670" w:rsidRPr="008E4670">
        <w:rPr>
          <w:rFonts w:ascii="Sylfaen" w:hAnsi="Sylfaen"/>
          <w:b w:val="0"/>
          <w:i w:val="0"/>
          <w:color w:val="003399"/>
          <w:sz w:val="20"/>
          <w:szCs w:val="20"/>
        </w:rPr>
        <w:t>Penetration testing requirements</w:t>
      </w:r>
      <w:r w:rsidR="008E4670" w:rsidRPr="008E4670">
        <w:rPr>
          <w:rFonts w:ascii="Sylfaen" w:hAnsi="Sylfaen"/>
          <w:i w:val="0"/>
          <w:color w:val="003399"/>
          <w:sz w:val="20"/>
          <w:szCs w:val="20"/>
          <w:lang w:val="ka-GE"/>
        </w:rPr>
        <w:t xml:space="preserve"> </w:t>
      </w:r>
      <w:r w:rsidR="00605276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</w:rPr>
        <w:t>Penetration testing requirements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შესყიდვის </w:t>
      </w:r>
      <w:r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მიზნით აცხადებს ღია ტენდერს .</w:t>
      </w:r>
    </w:p>
    <w:p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0721A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ოქტომბრის</w:t>
      </w:r>
      <w:bookmarkStart w:id="0" w:name="_GoBack"/>
      <w:bookmarkEnd w:id="0"/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31449A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9A" w:rsidRDefault="0031449A" w:rsidP="008D789A">
      <w:pPr>
        <w:spacing w:after="0" w:line="240" w:lineRule="auto"/>
      </w:pPr>
      <w:r>
        <w:separator/>
      </w:r>
    </w:p>
  </w:endnote>
  <w:endnote w:type="continuationSeparator" w:id="0">
    <w:p w:rsidR="0031449A" w:rsidRDefault="0031449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9A" w:rsidRDefault="0031449A" w:rsidP="008D789A">
      <w:pPr>
        <w:spacing w:after="0" w:line="240" w:lineRule="auto"/>
      </w:pPr>
      <w:r>
        <w:separator/>
      </w:r>
    </w:p>
  </w:footnote>
  <w:footnote w:type="continuationSeparator" w:id="0">
    <w:p w:rsidR="0031449A" w:rsidRDefault="0031449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21AF"/>
    <w:rsid w:val="00096BC8"/>
    <w:rsid w:val="000A5C36"/>
    <w:rsid w:val="00185BDD"/>
    <w:rsid w:val="00277C8D"/>
    <w:rsid w:val="0028164E"/>
    <w:rsid w:val="002D3280"/>
    <w:rsid w:val="0031091A"/>
    <w:rsid w:val="0031449A"/>
    <w:rsid w:val="003D3E21"/>
    <w:rsid w:val="00453C72"/>
    <w:rsid w:val="00462408"/>
    <w:rsid w:val="00497463"/>
    <w:rsid w:val="004C576F"/>
    <w:rsid w:val="005311AA"/>
    <w:rsid w:val="005B101A"/>
    <w:rsid w:val="00605276"/>
    <w:rsid w:val="006B3816"/>
    <w:rsid w:val="00710CD5"/>
    <w:rsid w:val="007D7BC7"/>
    <w:rsid w:val="007F392D"/>
    <w:rsid w:val="00824142"/>
    <w:rsid w:val="008433BA"/>
    <w:rsid w:val="008C4902"/>
    <w:rsid w:val="008D789A"/>
    <w:rsid w:val="008E4670"/>
    <w:rsid w:val="009376CC"/>
    <w:rsid w:val="0095527C"/>
    <w:rsid w:val="00B85FE7"/>
    <w:rsid w:val="00B96B63"/>
    <w:rsid w:val="00BB3ED9"/>
    <w:rsid w:val="00C063F2"/>
    <w:rsid w:val="00CB3002"/>
    <w:rsid w:val="00D22064"/>
    <w:rsid w:val="00D44EE5"/>
    <w:rsid w:val="00D74E30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8FA27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AA22-C71F-4D76-970D-A928E7A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2019-10-10T12:38:00Z</dcterms:modified>
</cp:coreProperties>
</file>