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0D47E5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0D47E5">
        <w:rPr>
          <w:rFonts w:ascii="Sylfaen" w:hAnsi="Sylfaen"/>
          <w:i w:val="0"/>
          <w:sz w:val="20"/>
          <w:szCs w:val="20"/>
          <w:lang w:val="ka-GE"/>
        </w:rPr>
        <w:t>სასმელი წყლისა და ერთჯერადი ჭიქების</w:t>
      </w:r>
      <w:r w:rsidR="008454C9">
        <w:rPr>
          <w:rFonts w:ascii="Sylfaen" w:hAnsi="Sylfaen"/>
          <w:i w:val="0"/>
          <w:sz w:val="20"/>
          <w:szCs w:val="20"/>
          <w:lang w:val="ka-GE"/>
        </w:rPr>
        <w:t xml:space="preserve"> შესყიდვის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</w:t>
      </w:r>
    </w:p>
    <w:p w:rsidR="007B58EB" w:rsidRPr="0041448C" w:rsidRDefault="007B58EB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 xml:space="preserve">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0D47E5" w:rsidRPr="000D47E5" w:rsidRDefault="008454C9" w:rsidP="000D47E5">
      <w:pPr>
        <w:shd w:val="clear" w:color="auto" w:fill="FFFFFF"/>
        <w:ind w:left="990"/>
        <w:contextualSpacing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8454C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r w:rsidR="000D47E5" w:rsidRPr="000D47E5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სასმელი წყლისა და ერთჯერადი ჭიქების შესყიდვის მიზნით აცხადებს </w:t>
      </w:r>
      <w:r w:rsidR="000D47E5" w:rsidRPr="000D47E5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 ტენდერს.</w:t>
      </w:r>
    </w:p>
    <w:p w:rsidR="008454C9" w:rsidRPr="008454C9" w:rsidRDefault="008454C9" w:rsidP="008454C9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0D47E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22 მარტის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BC4CE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ტენდერის დასახელება</w:t>
      </w:r>
      <w:bookmarkStart w:id="0" w:name="_GoBack"/>
      <w:bookmarkEnd w:id="0"/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0D47E5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s.kakhidze@vtb.ge</w:t>
        </w:r>
      </w:hyperlink>
    </w:p>
    <w:p w:rsidR="0041448C" w:rsidRPr="000D47E5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ირაკლი შენგელაია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595-</w:t>
      </w:r>
      <w:r w:rsidR="000D47E5" w:rsidRP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</w:t>
      </w:r>
      <w:r w:rsid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0D47E5" w:rsidRP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16</w:t>
      </w:r>
      <w:r w:rsid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0D47E5" w:rsidRP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 w:rsid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</w:t>
      </w:r>
      <w:r w:rsidR="000D47E5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ქალაქის ნომერი: 02 24 24 24</w:t>
      </w:r>
      <w:r w:rsid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(1231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="000D47E5" w:rsidRPr="000D47E5">
          <w:rPr>
            <w:rFonts w:ascii="Sylfaen" w:eastAsia="Times New Roman" w:hAnsi="Sylfaen" w:cs="Sylfaen"/>
            <w:color w:val="333333"/>
            <w:lang w:val="ka-GE"/>
          </w:rPr>
          <w:t>i.shengelaia@vtb.com.ge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5D7" w:rsidRDefault="00E465D7" w:rsidP="008D789A">
      <w:pPr>
        <w:spacing w:after="0" w:line="240" w:lineRule="auto"/>
      </w:pPr>
      <w:r>
        <w:separator/>
      </w:r>
    </w:p>
  </w:endnote>
  <w:endnote w:type="continuationSeparator" w:id="0">
    <w:p w:rsidR="00E465D7" w:rsidRDefault="00E465D7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5D7" w:rsidRDefault="00E465D7" w:rsidP="008D789A">
      <w:pPr>
        <w:spacing w:after="0" w:line="240" w:lineRule="auto"/>
      </w:pPr>
      <w:r>
        <w:separator/>
      </w:r>
    </w:p>
  </w:footnote>
  <w:footnote w:type="continuationSeparator" w:id="0">
    <w:p w:rsidR="00E465D7" w:rsidRDefault="00E465D7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0D47E5"/>
    <w:rsid w:val="0016303A"/>
    <w:rsid w:val="00185BDD"/>
    <w:rsid w:val="00197ABB"/>
    <w:rsid w:val="001C780E"/>
    <w:rsid w:val="001E6329"/>
    <w:rsid w:val="002145B7"/>
    <w:rsid w:val="00220B9D"/>
    <w:rsid w:val="00277C8D"/>
    <w:rsid w:val="0028164E"/>
    <w:rsid w:val="00285EE8"/>
    <w:rsid w:val="002D3014"/>
    <w:rsid w:val="002D3280"/>
    <w:rsid w:val="0030188B"/>
    <w:rsid w:val="0036442A"/>
    <w:rsid w:val="00385299"/>
    <w:rsid w:val="003D3E21"/>
    <w:rsid w:val="003F03A8"/>
    <w:rsid w:val="0041448C"/>
    <w:rsid w:val="004154B7"/>
    <w:rsid w:val="0042163D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94A8F"/>
    <w:rsid w:val="007B58EB"/>
    <w:rsid w:val="007D7BC7"/>
    <w:rsid w:val="00824142"/>
    <w:rsid w:val="008454C9"/>
    <w:rsid w:val="0087486C"/>
    <w:rsid w:val="008D3579"/>
    <w:rsid w:val="008D789A"/>
    <w:rsid w:val="00904BAB"/>
    <w:rsid w:val="009066FB"/>
    <w:rsid w:val="00952916"/>
    <w:rsid w:val="009911B6"/>
    <w:rsid w:val="009A0EB5"/>
    <w:rsid w:val="00B01017"/>
    <w:rsid w:val="00B82816"/>
    <w:rsid w:val="00B85FE7"/>
    <w:rsid w:val="00BC4CED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465D7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FECA0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shenge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4318-CDCD-4EB9-83EC-56A3F139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9</cp:revision>
  <cp:lastPrinted>2019-01-23T10:39:00Z</cp:lastPrinted>
  <dcterms:created xsi:type="dcterms:W3CDTF">2021-01-18T10:23:00Z</dcterms:created>
  <dcterms:modified xsi:type="dcterms:W3CDTF">2021-03-11T09:55:00Z</dcterms:modified>
</cp:coreProperties>
</file>