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C23EBB"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C23EBB">
            <w:pPr>
              <w:spacing w:after="0" w:line="288" w:lineRule="auto"/>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C23EBB">
            <w:pPr>
              <w:spacing w:after="0" w:line="288" w:lineRule="auto"/>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C23EBB">
            <w:pPr>
              <w:spacing w:after="0" w:line="288" w:lineRule="auto"/>
              <w:rPr>
                <w:rFonts w:ascii="Sylfaen" w:hAnsi="Sylfaen"/>
                <w:sz w:val="20"/>
                <w:szCs w:val="20"/>
                <w:lang w:val="ka-GE"/>
              </w:rPr>
            </w:pPr>
          </w:p>
          <w:p w:rsidR="007559D5" w:rsidRPr="00F017E6" w:rsidRDefault="007559D5" w:rsidP="00C23EBB">
            <w:pPr>
              <w:spacing w:after="0" w:line="288" w:lineRule="auto"/>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C23EBB">
            <w:pPr>
              <w:spacing w:after="0" w:line="288" w:lineRule="auto"/>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C23EBB" w:rsidRDefault="007559D5" w:rsidP="00C23EBB">
            <w:pPr>
              <w:spacing w:after="0" w:line="288" w:lineRule="auto"/>
              <w:rPr>
                <w:rStyle w:val="Hyperlink"/>
                <w:rFonts w:ascii="Sylfaen" w:hAnsi="Sylfaen"/>
                <w:color w:val="auto"/>
                <w:sz w:val="20"/>
                <w:szCs w:val="20"/>
                <w:u w:val="none"/>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23EBB" w:rsidRPr="00E92C33">
                <w:rPr>
                  <w:rStyle w:val="Hyperlink"/>
                  <w:sz w:val="20"/>
                  <w:szCs w:val="20"/>
                  <w:lang w:val="ka-GE"/>
                </w:rPr>
                <w:t>z.tsulaia@vtb.ge</w:t>
              </w:r>
            </w:hyperlink>
            <w:r w:rsidR="00C23EBB">
              <w:rPr>
                <w:rStyle w:val="Hyperlink"/>
                <w:rFonts w:ascii="Sylfaen" w:hAnsi="Sylfaen"/>
                <w:color w:val="auto"/>
                <w:sz w:val="20"/>
                <w:szCs w:val="20"/>
                <w:u w:val="none"/>
                <w:lang w:val="ka-GE"/>
              </w:rPr>
              <w:t xml:space="preserve"> </w:t>
            </w:r>
          </w:p>
          <w:p w:rsidR="00C23EBB" w:rsidRPr="00C23EBB" w:rsidRDefault="00C23EBB" w:rsidP="00C23EBB">
            <w:pPr>
              <w:shd w:val="clear" w:color="auto" w:fill="FFFFFF"/>
              <w:spacing w:after="300" w:line="240" w:lineRule="auto"/>
              <w:ind w:right="590"/>
              <w:rPr>
                <w:rFonts w:ascii="Sylfaen" w:hAnsi="Sylfaen" w:cs="Sylfaen"/>
                <w:sz w:val="20"/>
                <w:szCs w:val="20"/>
                <w:lang w:val="ka-GE"/>
              </w:rPr>
            </w:pPr>
            <w:r w:rsidRPr="00C23EBB">
              <w:rPr>
                <w:rFonts w:ascii="Sylfaen" w:hAnsi="Sylfaen"/>
                <w:b/>
                <w:sz w:val="20"/>
                <w:szCs w:val="20"/>
                <w:lang w:val="ka-GE"/>
              </w:rPr>
              <w:t>ნიკა ხაბეიშვილი</w:t>
            </w:r>
            <w:r>
              <w:rPr>
                <w:rFonts w:ascii="Sylfaen" w:hAnsi="Sylfaen" w:cs="Sylfaen"/>
                <w:color w:val="333333"/>
                <w:sz w:val="20"/>
                <w:szCs w:val="20"/>
                <w:lang w:val="ka-GE"/>
              </w:rPr>
              <w:br/>
              <w:t>ტელ: 2 24 24 24 (1164) +995 599 34-88-85</w:t>
            </w:r>
            <w:r>
              <w:rPr>
                <w:rFonts w:ascii="Sylfaen" w:hAnsi="Sylfaen" w:cs="Sylfaen"/>
                <w:color w:val="333333"/>
                <w:sz w:val="20"/>
                <w:szCs w:val="20"/>
                <w:lang w:val="ka-GE"/>
              </w:rPr>
              <w:br/>
              <w:t xml:space="preserve"> ელ. ფოსტა: </w:t>
            </w:r>
            <w:hyperlink r:id="rId7" w:history="1">
              <w:r>
                <w:rPr>
                  <w:rStyle w:val="Hyperlink"/>
                  <w:sz w:val="20"/>
                  <w:szCs w:val="20"/>
                  <w:lang w:val="ka-GE"/>
                </w:rPr>
                <w:t>n.khabeishvili@vtb.ge</w:t>
              </w:r>
            </w:hyperlink>
            <w:r>
              <w:rPr>
                <w:sz w:val="20"/>
                <w:szCs w:val="20"/>
                <w:lang w:val="ka-GE"/>
              </w:rPr>
              <w:t xml:space="preserve"> </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9F60D2">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9F60D2">
              <w:rPr>
                <w:rFonts w:ascii="Sylfaen" w:eastAsia="Geo ABC" w:hAnsi="Sylfaen"/>
                <w:bCs/>
                <w:iCs/>
                <w:sz w:val="20"/>
                <w:szCs w:val="20"/>
                <w:lang w:val="ka-GE"/>
              </w:rPr>
              <w:t>სარეკლამო გასაფორმებელი ინვენტარის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 xml:space="preserve">სატენდერო წინადადების ფასი უნდა იყოს საბოლოო და შეიცავდეს ყველა ხარჯს, დაკავშირებულს </w:t>
            </w:r>
            <w:r w:rsidR="001972A8">
              <w:rPr>
                <w:rFonts w:ascii="Sylfaen" w:hAnsi="Sylfaen"/>
                <w:sz w:val="20"/>
                <w:szCs w:val="20"/>
                <w:lang w:val="ka-GE"/>
              </w:rPr>
              <w:t xml:space="preserve">საქონლის მიწოდებასა და </w:t>
            </w:r>
            <w:r w:rsidRPr="00C93DB9">
              <w:rPr>
                <w:rFonts w:ascii="Sylfaen" w:hAnsi="Sylfaen"/>
                <w:sz w:val="20"/>
                <w:szCs w:val="20"/>
                <w:lang w:val="ka-GE"/>
              </w:rPr>
              <w:t>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B96CF5">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1972A8">
              <w:rPr>
                <w:rFonts w:ascii="Sylfaen" w:hAnsi="Sylfaen"/>
                <w:sz w:val="20"/>
                <w:szCs w:val="20"/>
                <w:lang w:val="ka-GE"/>
              </w:rPr>
              <w:t>ადება წარმოდგენილ უნდა იქნეს 202</w:t>
            </w:r>
            <w:r w:rsidR="00B96CF5">
              <w:rPr>
                <w:rFonts w:ascii="Sylfaen" w:hAnsi="Sylfaen"/>
                <w:sz w:val="20"/>
                <w:szCs w:val="20"/>
                <w:lang w:val="ka-GE"/>
              </w:rPr>
              <w:t>2</w:t>
            </w:r>
            <w:r w:rsidRPr="0090315E">
              <w:rPr>
                <w:rFonts w:ascii="Sylfaen" w:hAnsi="Sylfaen"/>
                <w:sz w:val="20"/>
                <w:szCs w:val="20"/>
                <w:lang w:val="ka-GE"/>
              </w:rPr>
              <w:t xml:space="preserve"> წლის </w:t>
            </w:r>
            <w:r w:rsidR="001972A8">
              <w:rPr>
                <w:rFonts w:ascii="Sylfaen" w:hAnsi="Sylfaen"/>
                <w:sz w:val="20"/>
                <w:szCs w:val="20"/>
                <w:lang w:val="ka-GE"/>
              </w:rPr>
              <w:t>1</w:t>
            </w:r>
            <w:r w:rsidR="008E76FE">
              <w:rPr>
                <w:rFonts w:ascii="Sylfaen" w:hAnsi="Sylfaen"/>
                <w:sz w:val="20"/>
                <w:szCs w:val="20"/>
                <w:lang w:val="ka-GE"/>
              </w:rPr>
              <w:t>7</w:t>
            </w:r>
            <w:r w:rsidR="001972A8">
              <w:rPr>
                <w:rFonts w:ascii="Sylfaen" w:hAnsi="Sylfaen"/>
                <w:sz w:val="20"/>
                <w:szCs w:val="20"/>
                <w:lang w:val="ka-GE"/>
              </w:rPr>
              <w:t xml:space="preserve"> </w:t>
            </w:r>
            <w:r w:rsidR="00F017E6">
              <w:rPr>
                <w:rFonts w:ascii="Sylfaen" w:hAnsi="Sylfaen"/>
                <w:sz w:val="20"/>
                <w:szCs w:val="20"/>
                <w:lang w:val="ka-GE"/>
              </w:rPr>
              <w:t>იანვ</w:t>
            </w:r>
            <w:r w:rsidR="001972A8">
              <w:rPr>
                <w:rFonts w:ascii="Sylfaen" w:hAnsi="Sylfaen"/>
                <w:sz w:val="20"/>
                <w:szCs w:val="20"/>
                <w:lang w:val="ka-GE"/>
              </w:rPr>
              <w:t>რის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ქ. თბილისი, ჭანტურიას ქ. #14, შესყიდვების კოორდინაციის ჯგუფში დახურული </w:t>
            </w:r>
            <w:r w:rsidRPr="0090315E">
              <w:rPr>
                <w:rFonts w:ascii="Sylfaen" w:hAnsi="Sylfaen"/>
                <w:sz w:val="20"/>
                <w:szCs w:val="20"/>
                <w:lang w:val="ka-GE"/>
              </w:rPr>
              <w:lastRenderedPageBreak/>
              <w:t>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D15806" w:rsidRPr="00823C8C">
              <w:rPr>
                <w:rFonts w:ascii="Sylfaen" w:hAnsi="Sylfaen"/>
                <w:sz w:val="20"/>
                <w:szCs w:val="20"/>
                <w:lang w:val="ka-GE"/>
              </w:rPr>
              <w:t>განფასებული</w:t>
            </w:r>
            <w:r w:rsidRPr="00823C8C">
              <w:rPr>
                <w:rFonts w:ascii="Sylfaen" w:hAnsi="Sylfaen"/>
                <w:sz w:val="20"/>
                <w:szCs w:val="20"/>
                <w:lang w:val="ka-GE"/>
              </w:rPr>
              <w:t xml:space="preserve"> ფასების ცხრილი (დანართი #3);</w:t>
            </w:r>
          </w:p>
          <w:p w:rsidR="009F60D2" w:rsidRPr="00823C8C" w:rsidRDefault="009F60D2" w:rsidP="00823C8C">
            <w:pPr>
              <w:pStyle w:val="BodyText"/>
              <w:spacing w:line="288" w:lineRule="auto"/>
              <w:rPr>
                <w:rFonts w:ascii="Sylfaen" w:hAnsi="Sylfaen"/>
                <w:sz w:val="20"/>
                <w:szCs w:val="20"/>
                <w:lang w:val="ka-GE"/>
              </w:rPr>
            </w:pPr>
            <w:r w:rsidRPr="007A619E">
              <w:rPr>
                <w:rFonts w:ascii="Sylfaen" w:hAnsi="Sylfaen"/>
                <w:sz w:val="20"/>
                <w:szCs w:val="20"/>
                <w:lang w:val="ka-GE"/>
              </w:rPr>
              <w:t>ვ) მიმწოდებელმა სატენდერო წინადადებასთან ერთად უნდა წარმოადგინოს შესყიდვის ობიექტის ნიმუშები, დანართ #3-ში მითითებული ინფორმაციის გათვალისწინებით;</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ზ)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w:t>
            </w:r>
            <w:r w:rsidRPr="0090315E">
              <w:rPr>
                <w:rFonts w:ascii="Sylfaen" w:hAnsi="Sylfaen"/>
                <w:sz w:val="20"/>
                <w:szCs w:val="20"/>
                <w:lang w:val="ka-GE"/>
              </w:rPr>
              <w:lastRenderedPageBreak/>
              <w:t>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321506">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w:t>
      </w:r>
      <w:r w:rsidR="009F60D2">
        <w:rPr>
          <w:rFonts w:ascii="Sylfaen" w:hAnsi="Sylfaen" w:cs="Sylfaen"/>
          <w:sz w:val="20"/>
          <w:szCs w:val="20"/>
          <w:lang w:val="ka-GE"/>
        </w:rPr>
        <w:t xml:space="preserve">განვახორციელო სარეკლამო გასაფორმებელი ინვენტარის </w:t>
      </w:r>
      <w:r w:rsidR="001972A8">
        <w:rPr>
          <w:rFonts w:ascii="Sylfaen" w:hAnsi="Sylfaen" w:cs="Sylfaen"/>
          <w:sz w:val="20"/>
          <w:szCs w:val="20"/>
          <w:lang w:val="ka-GE"/>
        </w:rPr>
        <w:t xml:space="preserve">დამზადება და </w:t>
      </w:r>
      <w:r w:rsidR="009F60D2">
        <w:rPr>
          <w:rFonts w:ascii="Sylfaen" w:hAnsi="Sylfaen" w:cs="Sylfaen"/>
          <w:sz w:val="20"/>
          <w:szCs w:val="20"/>
          <w:lang w:val="ka-GE"/>
        </w:rPr>
        <w:t>მოწოდება დანართ #3-ში 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A66FA0" w:rsidRDefault="007A3AA6" w:rsidP="00A66FA0">
      <w:pPr>
        <w:spacing w:after="0" w:line="288" w:lineRule="atLeast"/>
        <w:ind w:firstLine="720"/>
        <w:jc w:val="both"/>
        <w:rPr>
          <w:rFonts w:ascii="Sylfaen" w:hAnsi="Sylfaen"/>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00A66FA0">
        <w:rPr>
          <w:rFonts w:ascii="LitNusx" w:hAnsi="LitNusx"/>
          <w:sz w:val="20"/>
          <w:szCs w:val="20"/>
          <w:lang w:val="ka-GE"/>
        </w:rPr>
        <w:t>: _________________________</w:t>
      </w:r>
    </w:p>
    <w:p w:rsidR="00A66FA0" w:rsidRPr="00A66FA0" w:rsidRDefault="00A66FA0" w:rsidP="00A66FA0">
      <w:pPr>
        <w:spacing w:after="0" w:line="288" w:lineRule="atLeast"/>
        <w:ind w:firstLine="720"/>
        <w:jc w:val="both"/>
        <w:rPr>
          <w:rFonts w:ascii="Sylfaen" w:hAnsi="Sylfaen"/>
          <w:sz w:val="20"/>
          <w:szCs w:val="20"/>
          <w:lang w:val="ka-GE"/>
        </w:rPr>
      </w:pPr>
    </w:p>
    <w:p w:rsidR="00A66FA0" w:rsidRPr="00A66FA0" w:rsidRDefault="00A66FA0" w:rsidP="00A66FA0">
      <w:pPr>
        <w:spacing w:after="0" w:line="288" w:lineRule="atLeast"/>
        <w:jc w:val="both"/>
        <w:rPr>
          <w:rFonts w:ascii="Sylfaen" w:hAnsi="Sylfaen"/>
          <w:sz w:val="20"/>
          <w:szCs w:val="20"/>
          <w:lang w:val="ka-GE"/>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სარეკლამო გასაფორმებელი ინვენტარის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A66FA0" w:rsidRPr="00A66FA0" w:rsidRDefault="00A66FA0" w:rsidP="00A66FA0">
      <w:pPr>
        <w:spacing w:after="0" w:line="288" w:lineRule="atLeast"/>
        <w:jc w:val="both"/>
        <w:rPr>
          <w:rFonts w:ascii="Sylfaen" w:hAnsi="Sylfaen"/>
          <w:sz w:val="20"/>
          <w:szCs w:val="20"/>
          <w:lang w:val="ka-GE"/>
        </w:rPr>
      </w:pPr>
      <w:r>
        <w:rPr>
          <w:rFonts w:ascii="LitNusx" w:hAnsi="LitNusx"/>
          <w:position w:val="9"/>
          <w:sz w:val="20"/>
          <w:szCs w:val="20"/>
          <w:vertAlign w:val="superscript"/>
          <w:lang w:val="es-ES"/>
        </w:rPr>
        <w:t xml:space="preserve">   </w:t>
      </w:r>
      <w:r w:rsidR="007A3AA6"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r>
        <w:rPr>
          <w:rFonts w:ascii="LitNusx" w:hAnsi="LitNusx"/>
          <w:position w:val="9"/>
          <w:sz w:val="20"/>
          <w:szCs w:val="20"/>
          <w:vertAlign w:val="superscript"/>
          <w:lang w:val="es-ES"/>
        </w:rPr>
        <w:t>----------------</w:t>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r>
      <w:r>
        <w:rPr>
          <w:rFonts w:ascii="LitNusx" w:hAnsi="LitNusx"/>
          <w:position w:val="9"/>
          <w:sz w:val="20"/>
          <w:szCs w:val="20"/>
          <w:vertAlign w:val="superscript"/>
          <w:lang w:val="es-ES"/>
        </w:rPr>
        <w:tab/>
        <w:t xml:space="preserve">   </w:t>
      </w:r>
      <w:proofErr w:type="gramStart"/>
      <w:r>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proofErr w:type="gramEnd"/>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bookmarkStart w:id="0" w:name="_GoBack"/>
      <w:bookmarkEnd w:id="0"/>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2A8"/>
    <w:rsid w:val="001C0404"/>
    <w:rsid w:val="001D18ED"/>
    <w:rsid w:val="001D199A"/>
    <w:rsid w:val="001E0381"/>
    <w:rsid w:val="00201D63"/>
    <w:rsid w:val="00211897"/>
    <w:rsid w:val="00221426"/>
    <w:rsid w:val="002275E7"/>
    <w:rsid w:val="002338AD"/>
    <w:rsid w:val="00233E81"/>
    <w:rsid w:val="00247440"/>
    <w:rsid w:val="0025123E"/>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506"/>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A619E"/>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E76FE"/>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66FA0"/>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CF5"/>
    <w:rsid w:val="00B96FD0"/>
    <w:rsid w:val="00BA08AC"/>
    <w:rsid w:val="00BC70BC"/>
    <w:rsid w:val="00BD0463"/>
    <w:rsid w:val="00BD5006"/>
    <w:rsid w:val="00BE2CCE"/>
    <w:rsid w:val="00BF21B1"/>
    <w:rsid w:val="00BF6032"/>
    <w:rsid w:val="00C043EF"/>
    <w:rsid w:val="00C04689"/>
    <w:rsid w:val="00C10B92"/>
    <w:rsid w:val="00C222F0"/>
    <w:rsid w:val="00C23EBB"/>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17E6"/>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E084"/>
  <w15:docId w15:val="{48C978D6-49E2-4B81-922F-9E264AC1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khabeishvili@vtb.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9A880-0D4D-4527-A076-64414FC3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14</cp:revision>
  <cp:lastPrinted>2012-09-17T06:52:00Z</cp:lastPrinted>
  <dcterms:created xsi:type="dcterms:W3CDTF">2020-12-01T10:04:00Z</dcterms:created>
  <dcterms:modified xsi:type="dcterms:W3CDTF">2021-12-27T07:39:00Z</dcterms:modified>
</cp:coreProperties>
</file>